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3B544" w14:textId="77777777" w:rsidR="00F6143C" w:rsidRPr="001D3F20" w:rsidRDefault="00F6143C" w:rsidP="00F6143C">
      <w:pPr>
        <w:spacing w:after="0" w:line="276" w:lineRule="auto"/>
        <w:jc w:val="center"/>
        <w:rPr>
          <w:rFonts w:ascii="IRPooya" w:hAnsi="IRPooya" w:cs="B Titr"/>
          <w:b/>
          <w:bCs/>
          <w:color w:val="000000" w:themeColor="text1"/>
          <w:sz w:val="24"/>
          <w:szCs w:val="24"/>
          <w:rtl/>
        </w:rPr>
      </w:pPr>
      <w:r w:rsidRPr="001D3F20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 xml:space="preserve">«طراحی مدل استاندارد بودجه‏ریزی و گزارش‏دهی مالی بر اساس </w:t>
      </w:r>
      <w:r w:rsidRPr="001D3F20">
        <w:rPr>
          <w:rFonts w:asciiTheme="majorBidi" w:hAnsiTheme="majorBidi" w:cs="B Titr"/>
          <w:b/>
          <w:bCs/>
          <w:color w:val="000000" w:themeColor="text1"/>
          <w:sz w:val="24"/>
          <w:szCs w:val="24"/>
        </w:rPr>
        <w:t>IFRS</w:t>
      </w:r>
      <w:r w:rsidRPr="001D3F20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14:paraId="778BF4A4" w14:textId="0178856F" w:rsidR="00F6143C" w:rsidRPr="001D3F20" w:rsidRDefault="00F6143C" w:rsidP="00F6143C">
      <w:pPr>
        <w:spacing w:after="240"/>
        <w:jc w:val="center"/>
        <w:rPr>
          <w:rFonts w:ascii="IRPooya" w:hAnsi="IRPooya" w:cs="B Titr"/>
          <w:b/>
          <w:bCs/>
          <w:color w:val="000000" w:themeColor="text1"/>
          <w:sz w:val="24"/>
          <w:szCs w:val="24"/>
          <w:rtl/>
        </w:rPr>
      </w:pPr>
      <w:r w:rsidRPr="001D3F20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>در شرکت‏های تابعه صندوق بازنشستگی کشوری»</w:t>
      </w:r>
    </w:p>
    <w:p w14:paraId="4F3532D6" w14:textId="3D8CF9B8" w:rsidR="00F6143C" w:rsidRPr="00506A40" w:rsidRDefault="00F6143C" w:rsidP="00A64A9E">
      <w:pPr>
        <w:rPr>
          <w:sz w:val="26"/>
          <w:rtl/>
        </w:rPr>
      </w:pPr>
      <w:r w:rsidRPr="00506A40">
        <w:rPr>
          <w:rFonts w:hint="cs"/>
          <w:sz w:val="26"/>
          <w:rtl/>
        </w:rPr>
        <w:t xml:space="preserve">اطلاعات مالی بنگاه‏های اقتصادی که از طریق گزارش‏های مالی افشا می‏شوند، به‏عنوان مهمترین منبع اطلاعاتی انعکاس </w:t>
      </w:r>
      <w:r w:rsidRPr="00506A40">
        <w:rPr>
          <w:sz w:val="26"/>
          <w:rtl/>
        </w:rPr>
        <w:t>نتایج عملکرد</w:t>
      </w:r>
      <w:r w:rsidRPr="00506A40">
        <w:rPr>
          <w:rFonts w:hint="cs"/>
          <w:sz w:val="26"/>
          <w:rtl/>
        </w:rPr>
        <w:t>،</w:t>
      </w:r>
      <w:r w:rsidRPr="00506A40">
        <w:rPr>
          <w:sz w:val="26"/>
          <w:rtl/>
        </w:rPr>
        <w:t xml:space="preserve"> وضعیت مالی و جریان</w:t>
      </w:r>
      <w:r w:rsidRPr="00506A40">
        <w:rPr>
          <w:rFonts w:hint="cs"/>
          <w:sz w:val="26"/>
          <w:rtl/>
        </w:rPr>
        <w:t>‏</w:t>
      </w:r>
      <w:r w:rsidRPr="00506A40">
        <w:rPr>
          <w:sz w:val="26"/>
          <w:rtl/>
        </w:rPr>
        <w:t xml:space="preserve">هاي نقدي واحدهاي تجاري شناخته </w:t>
      </w:r>
      <w:r w:rsidRPr="00506A40">
        <w:rPr>
          <w:rFonts w:hint="cs"/>
          <w:sz w:val="26"/>
          <w:rtl/>
        </w:rPr>
        <w:t>می‏شوند. از آنجا که ارتباط بین گزارش‏گران مالی با تصمیم‏گیرندگان اقتصادی از طریق گزارش‏های مالی برقرار می</w:t>
      </w:r>
      <w:r w:rsidRPr="00506A40">
        <w:rPr>
          <w:sz w:val="26"/>
        </w:rPr>
        <w:t>‎</w:t>
      </w:r>
      <w:r w:rsidRPr="00506A40">
        <w:rPr>
          <w:rFonts w:hint="cs"/>
          <w:sz w:val="26"/>
          <w:rtl/>
        </w:rPr>
        <w:t xml:space="preserve">‏شود، لذا مبانی تهیۀ آنها از اهمیت بسیار بالایی برخوردار است. </w:t>
      </w:r>
      <w:r w:rsidRPr="00506A40">
        <w:rPr>
          <w:sz w:val="26"/>
          <w:rtl/>
        </w:rPr>
        <w:t>رشد تجارت بین</w:t>
      </w:r>
      <w:r w:rsidRPr="00506A40">
        <w:rPr>
          <w:rFonts w:hint="cs"/>
          <w:sz w:val="26"/>
          <w:rtl/>
        </w:rPr>
        <w:t>‏</w:t>
      </w:r>
      <w:r w:rsidRPr="00506A40">
        <w:rPr>
          <w:sz w:val="26"/>
          <w:rtl/>
        </w:rPr>
        <w:t>المللی</w:t>
      </w:r>
      <w:r w:rsidRPr="00506A40">
        <w:rPr>
          <w:rFonts w:hint="cs"/>
          <w:sz w:val="26"/>
          <w:rtl/>
        </w:rPr>
        <w:t>،</w:t>
      </w:r>
      <w:r w:rsidRPr="00506A40">
        <w:rPr>
          <w:sz w:val="26"/>
          <w:rtl/>
        </w:rPr>
        <w:t xml:space="preserve"> جریان</w:t>
      </w:r>
      <w:r w:rsidRPr="00506A40">
        <w:rPr>
          <w:rFonts w:hint="cs"/>
          <w:sz w:val="26"/>
          <w:rtl/>
        </w:rPr>
        <w:t>‏</w:t>
      </w:r>
      <w:r w:rsidRPr="00506A40">
        <w:rPr>
          <w:sz w:val="26"/>
          <w:rtl/>
        </w:rPr>
        <w:t xml:space="preserve">هاي </w:t>
      </w:r>
      <w:r w:rsidRPr="00506A40">
        <w:rPr>
          <w:rFonts w:hint="cs"/>
          <w:sz w:val="26"/>
          <w:rtl/>
        </w:rPr>
        <w:t xml:space="preserve">عظیم </w:t>
      </w:r>
      <w:r w:rsidRPr="00506A40">
        <w:rPr>
          <w:sz w:val="26"/>
          <w:rtl/>
        </w:rPr>
        <w:t xml:space="preserve">سرمایه و پیوستگی </w:t>
      </w:r>
      <w:r w:rsidRPr="00506A40">
        <w:rPr>
          <w:rFonts w:hint="cs"/>
          <w:sz w:val="26"/>
          <w:rtl/>
        </w:rPr>
        <w:t xml:space="preserve">فزایندۀ </w:t>
      </w:r>
      <w:r w:rsidRPr="00506A40">
        <w:rPr>
          <w:sz w:val="26"/>
          <w:rtl/>
        </w:rPr>
        <w:t>اقتصادي، تمایل به هماهنگ</w:t>
      </w:r>
      <w:r w:rsidRPr="00506A40">
        <w:rPr>
          <w:rFonts w:hint="cs"/>
          <w:sz w:val="26"/>
          <w:rtl/>
        </w:rPr>
        <w:t>‏</w:t>
      </w:r>
      <w:r w:rsidRPr="00506A40">
        <w:rPr>
          <w:sz w:val="26"/>
          <w:rtl/>
        </w:rPr>
        <w:t xml:space="preserve">سازي استانداردهاي </w:t>
      </w:r>
      <w:r w:rsidRPr="00506A40">
        <w:rPr>
          <w:rFonts w:hint="cs"/>
          <w:sz w:val="26"/>
          <w:rtl/>
        </w:rPr>
        <w:t>گزارش‏دهی‏های مالی در سطوح ملی و بین‏المللی را افزایش داده است.مزایای بسیاری برای هماهنگ‏سازی این استا</w:t>
      </w:r>
      <w:r w:rsidR="002B3A80">
        <w:rPr>
          <w:rFonts w:hint="cs"/>
          <w:sz w:val="26"/>
          <w:rtl/>
        </w:rPr>
        <w:t>ن</w:t>
      </w:r>
      <w:r w:rsidRPr="00506A40">
        <w:rPr>
          <w:rFonts w:hint="cs"/>
          <w:sz w:val="26"/>
          <w:rtl/>
        </w:rPr>
        <w:t xml:space="preserve">داردها بر شمرده شده که مهم‏ترین آنها عبارتند از: </w:t>
      </w:r>
    </w:p>
    <w:p w14:paraId="46EC197A" w14:textId="77777777" w:rsidR="00F6143C" w:rsidRPr="00506A40" w:rsidRDefault="00F6143C" w:rsidP="00A64A9E">
      <w:pPr>
        <w:pStyle w:val="ListParagraph"/>
        <w:numPr>
          <w:ilvl w:val="0"/>
          <w:numId w:val="8"/>
        </w:numPr>
        <w:bidi/>
        <w:jc w:val="both"/>
        <w:rPr>
          <w:rFonts w:cs="B Mitra"/>
          <w:sz w:val="26"/>
          <w:szCs w:val="26"/>
        </w:rPr>
      </w:pPr>
      <w:r w:rsidRPr="00506A40">
        <w:rPr>
          <w:rFonts w:cs="B Mitra" w:hint="cs"/>
          <w:sz w:val="26"/>
          <w:szCs w:val="26"/>
          <w:rtl/>
        </w:rPr>
        <w:t>افزایش قابلیت مقایسۀ صورت‏های مالی شرکت‏ها</w:t>
      </w:r>
    </w:p>
    <w:p w14:paraId="6A9A4013" w14:textId="77777777" w:rsidR="00F6143C" w:rsidRPr="00506A40" w:rsidRDefault="00F6143C" w:rsidP="00A64A9E">
      <w:pPr>
        <w:pStyle w:val="ListParagraph"/>
        <w:numPr>
          <w:ilvl w:val="0"/>
          <w:numId w:val="8"/>
        </w:numPr>
        <w:bidi/>
        <w:jc w:val="both"/>
        <w:rPr>
          <w:rFonts w:cs="B Mitra"/>
          <w:sz w:val="26"/>
          <w:szCs w:val="26"/>
        </w:rPr>
      </w:pPr>
      <w:r w:rsidRPr="00506A40">
        <w:rPr>
          <w:rFonts w:cs="B Mitra" w:hint="cs"/>
          <w:sz w:val="26"/>
          <w:szCs w:val="26"/>
          <w:rtl/>
        </w:rPr>
        <w:t>افزایش شفافیت و دقت گزارش‏گری مالی</w:t>
      </w:r>
    </w:p>
    <w:p w14:paraId="3A99022D" w14:textId="77777777" w:rsidR="00F6143C" w:rsidRPr="00506A40" w:rsidRDefault="00F6143C" w:rsidP="00A64A9E">
      <w:pPr>
        <w:pStyle w:val="ListParagraph"/>
        <w:numPr>
          <w:ilvl w:val="0"/>
          <w:numId w:val="8"/>
        </w:numPr>
        <w:bidi/>
        <w:jc w:val="both"/>
        <w:rPr>
          <w:rFonts w:cs="B Mitra"/>
          <w:sz w:val="26"/>
          <w:szCs w:val="26"/>
        </w:rPr>
      </w:pPr>
      <w:r w:rsidRPr="00506A40">
        <w:rPr>
          <w:rFonts w:cs="B Mitra" w:hint="cs"/>
          <w:sz w:val="26"/>
          <w:szCs w:val="26"/>
          <w:rtl/>
        </w:rPr>
        <w:t>کاهش هزینۀ تطبیق صورت‏های مالی</w:t>
      </w:r>
      <w:r w:rsidRPr="00506A40">
        <w:rPr>
          <w:rStyle w:val="FootnoteReference"/>
          <w:rFonts w:cs="B Mitra"/>
          <w:sz w:val="26"/>
          <w:szCs w:val="26"/>
          <w:rtl/>
        </w:rPr>
        <w:footnoteReference w:id="1"/>
      </w:r>
      <w:r w:rsidRPr="00506A40">
        <w:rPr>
          <w:rFonts w:cs="B Mitra" w:hint="cs"/>
          <w:sz w:val="26"/>
          <w:szCs w:val="26"/>
          <w:rtl/>
        </w:rPr>
        <w:t xml:space="preserve"> </w:t>
      </w:r>
    </w:p>
    <w:p w14:paraId="1AF55A0F" w14:textId="77777777" w:rsidR="00F6143C" w:rsidRPr="00506A40" w:rsidRDefault="00F6143C" w:rsidP="00A64A9E">
      <w:pPr>
        <w:rPr>
          <w:sz w:val="26"/>
          <w:rtl/>
          <w:lang w:bidi="fa-IR"/>
        </w:rPr>
      </w:pPr>
      <w:r w:rsidRPr="00506A40">
        <w:rPr>
          <w:rFonts w:hint="cs"/>
          <w:sz w:val="26"/>
          <w:rtl/>
        </w:rPr>
        <w:t>انواع گوناگونی از مدل‏های حسابداری در جهان وجود دارند که از جملۀ آنها می‏توان به مدل آنگلوساکسون، کنتیننتال، آمریکای جنوبی، اقتصاد ترکیبی و استانداردهای گزارش‏گری مالی بین‏المللی (</w:t>
      </w:r>
      <w:r w:rsidRPr="00763070">
        <w:rPr>
          <w:rFonts w:asciiTheme="majorBidi" w:hAnsiTheme="majorBidi" w:cstheme="majorBidi"/>
          <w:sz w:val="24"/>
          <w:szCs w:val="24"/>
          <w:lang w:bidi="fa-IR"/>
        </w:rPr>
        <w:t>IFRS</w:t>
      </w:r>
      <w:r w:rsidRPr="00506A40">
        <w:rPr>
          <w:rFonts w:hint="cs"/>
          <w:sz w:val="26"/>
          <w:rtl/>
        </w:rPr>
        <w:t>)</w:t>
      </w:r>
      <w:r w:rsidRPr="00506A40">
        <w:rPr>
          <w:rStyle w:val="FootnoteReference"/>
          <w:sz w:val="26"/>
          <w:rtl/>
        </w:rPr>
        <w:footnoteReference w:id="2"/>
      </w:r>
      <w:r w:rsidRPr="00506A40">
        <w:rPr>
          <w:rFonts w:hint="cs"/>
          <w:sz w:val="26"/>
          <w:rtl/>
        </w:rPr>
        <w:t xml:space="preserve"> اشاره کرد. مورد اخیر (</w:t>
      </w:r>
      <w:r w:rsidRPr="00763070">
        <w:rPr>
          <w:rFonts w:asciiTheme="majorBidi" w:hAnsiTheme="majorBidi" w:cstheme="majorBidi"/>
          <w:sz w:val="24"/>
          <w:szCs w:val="24"/>
          <w:lang w:bidi="fa-IR"/>
        </w:rPr>
        <w:t>IFRS</w:t>
      </w:r>
      <w:r w:rsidRPr="00506A40">
        <w:rPr>
          <w:rFonts w:hint="cs"/>
          <w:sz w:val="26"/>
          <w:rtl/>
        </w:rPr>
        <w:t xml:space="preserve">)، </w:t>
      </w:r>
      <w:r w:rsidRPr="00506A40">
        <w:rPr>
          <w:rFonts w:hint="cs"/>
          <w:sz w:val="26"/>
          <w:rtl/>
          <w:lang w:bidi="fa-IR"/>
        </w:rPr>
        <w:t>که توسط هیات استانداردهای حسابداری بین‏المللی (</w:t>
      </w:r>
      <w:r w:rsidRPr="00763070">
        <w:rPr>
          <w:rFonts w:asciiTheme="majorBidi" w:hAnsiTheme="majorBidi" w:cstheme="majorBidi"/>
          <w:sz w:val="24"/>
          <w:szCs w:val="24"/>
          <w:lang w:bidi="fa-IR"/>
        </w:rPr>
        <w:t>IASB</w:t>
      </w:r>
      <w:r w:rsidRPr="00506A40">
        <w:rPr>
          <w:rFonts w:hint="cs"/>
          <w:sz w:val="26"/>
          <w:rtl/>
          <w:lang w:bidi="fa-IR"/>
        </w:rPr>
        <w:t>)</w:t>
      </w:r>
      <w:r w:rsidRPr="00506A40">
        <w:rPr>
          <w:rStyle w:val="FootnoteReference"/>
          <w:sz w:val="26"/>
          <w:rtl/>
          <w:lang w:bidi="fa-IR"/>
        </w:rPr>
        <w:footnoteReference w:id="3"/>
      </w:r>
      <w:r w:rsidRPr="00506A40">
        <w:rPr>
          <w:rFonts w:hint="cs"/>
          <w:sz w:val="26"/>
          <w:rtl/>
        </w:rPr>
        <w:t xml:space="preserve"> تهیه شده، الگویی متمایز از چهار مدل دیگر است که هدف آن هماهنگ‏سازی گزارش‏گری مالی ملی و بین‏المللی (خصوصاً برای شرکت‏های چندملیتی و مشارکت‏کنندگان در بازارهای مالی جهانی) است. تا کنون 144 کشور </w:t>
      </w:r>
      <w:r w:rsidRPr="00763070">
        <w:rPr>
          <w:rFonts w:asciiTheme="majorBidi" w:hAnsiTheme="majorBidi" w:cstheme="majorBidi"/>
          <w:sz w:val="24"/>
          <w:szCs w:val="24"/>
          <w:lang w:bidi="fa-IR"/>
        </w:rPr>
        <w:t>IFRS</w:t>
      </w:r>
      <w:r w:rsidRPr="00506A40">
        <w:rPr>
          <w:rFonts w:hint="cs"/>
          <w:sz w:val="26"/>
          <w:rtl/>
          <w:lang w:bidi="fa-IR"/>
        </w:rPr>
        <w:t xml:space="preserve"> را برای گزارش‏دهی مالی تمام یا اغلب شرکت‏های خود الزامی کرده‏اند، که ایران نیز یکی از آن کشورها محسوب می‏شود.</w:t>
      </w:r>
      <w:r w:rsidRPr="00506A40">
        <w:rPr>
          <w:rStyle w:val="FootnoteReference"/>
          <w:sz w:val="26"/>
          <w:rtl/>
          <w:lang w:bidi="fa-IR"/>
        </w:rPr>
        <w:footnoteReference w:id="4"/>
      </w:r>
      <w:r w:rsidRPr="00506A40">
        <w:rPr>
          <w:sz w:val="26"/>
          <w:lang w:bidi="fa-IR"/>
        </w:rPr>
        <w:t xml:space="preserve"> </w:t>
      </w:r>
    </w:p>
    <w:p w14:paraId="518C9F88" w14:textId="1513289A" w:rsidR="00F6143C" w:rsidRDefault="00F6143C" w:rsidP="00A64A9E">
      <w:pPr>
        <w:rPr>
          <w:sz w:val="26"/>
          <w:rtl/>
          <w:lang w:bidi="fa-IR"/>
        </w:rPr>
      </w:pPr>
      <w:r w:rsidRPr="00506A40">
        <w:rPr>
          <w:rFonts w:hint="cs"/>
          <w:sz w:val="26"/>
          <w:rtl/>
          <w:lang w:bidi="fa-IR"/>
        </w:rPr>
        <w:t>اما علی‏رغم الزام چنین قاعده‏ای از جانب سازمان بورس و اوراق بهادار، به‏نظر می‏رسد همچنان رویه‏های حسابداری ملی برای ارائۀ اطلاعات مالی خود استفاده می‏کنند که می‏تواند مانعی باشد در برابر دستیابی به مزایای سه‏گانۀ پیش‏گفته. اهمیت این امر در صندوق بازنشستگی کشوری به عنوان نهاد متولی 117 شرکت زیرمجموعه، ذیل 6 هلدینگ مختلف، دو چندان است. چراکه تبعیت از یک رویۀ استاندارد و یکسان، نه تنها هزینه‏های تطبیق و مقایسۀ صورت‏های مالی بین شرکت‏های تحت پوشش را کاهش می‏دهد بلکه امکان مقایسۀ عملکرد مالی این شرکت‏ها را با شرکت‏های مشابه داخلی و حتی بین‏المللی را فراهم خواهد ساخت. علاوه بر این، می‏تواند راهکاری مفید در جهت فهم بهتر ذینفعان (مشترکان صندوق) از اطلاعات مالی شرکت‏های تحت پوشش، باشد.</w:t>
      </w:r>
    </w:p>
    <w:p w14:paraId="54514D20" w14:textId="33CD3A2A" w:rsidR="00F94B2F" w:rsidRDefault="008432FE" w:rsidP="0039110E">
      <w:pPr>
        <w:rPr>
          <w:sz w:val="26"/>
          <w:lang w:bidi="fa-IR"/>
        </w:rPr>
      </w:pPr>
      <w:r>
        <w:rPr>
          <w:rFonts w:hint="cs"/>
          <w:sz w:val="26"/>
          <w:rtl/>
          <w:lang w:bidi="fa-IR"/>
        </w:rPr>
        <w:t xml:space="preserve">نتیجه حاصل از این طرح باید گام‏های اجرایی انطباق صورت‏های مالی شرکت‏های تابعه صندوق با مدل </w:t>
      </w:r>
      <w:r w:rsidRPr="008432FE">
        <w:rPr>
          <w:rFonts w:asciiTheme="majorBidi" w:hAnsiTheme="majorBidi" w:cstheme="majorBidi"/>
          <w:sz w:val="24"/>
          <w:szCs w:val="24"/>
          <w:lang w:bidi="fa-IR"/>
        </w:rPr>
        <w:t>IFRS</w:t>
      </w:r>
      <w:r>
        <w:rPr>
          <w:rFonts w:hint="cs"/>
          <w:sz w:val="26"/>
          <w:rtl/>
          <w:lang w:bidi="fa-IR"/>
        </w:rPr>
        <w:t xml:space="preserve"> را تبیین نماید. </w:t>
      </w:r>
    </w:p>
    <w:sectPr w:rsidR="00F94B2F" w:rsidSect="00E444EF">
      <w:headerReference w:type="even" r:id="rId8"/>
      <w:headerReference w:type="default" r:id="rId9"/>
      <w:footerReference w:type="default" r:id="rId10"/>
      <w:headerReference w:type="first" r:id="rId11"/>
      <w:footnotePr>
        <w:numRestart w:val="eachPage"/>
      </w:footnotePr>
      <w:pgSz w:w="12240" w:h="15840"/>
      <w:pgMar w:top="2036" w:right="1440" w:bottom="1440" w:left="1440" w:header="73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1E63A" w14:textId="77777777" w:rsidR="000A3591" w:rsidRDefault="000A3591" w:rsidP="000A3591">
      <w:pPr>
        <w:spacing w:after="0" w:line="240" w:lineRule="auto"/>
      </w:pPr>
      <w:r>
        <w:separator/>
      </w:r>
    </w:p>
  </w:endnote>
  <w:endnote w:type="continuationSeparator" w:id="0">
    <w:p w14:paraId="1FC7B56A" w14:textId="77777777" w:rsidR="000A3591" w:rsidRDefault="000A3591" w:rsidP="000A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Pooya">
    <w:altName w:val="Arial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-1846698682"/>
      <w:docPartObj>
        <w:docPartGallery w:val="Page Numbers (Bottom of Page)"/>
        <w:docPartUnique/>
      </w:docPartObj>
    </w:sdtPr>
    <w:sdtEndPr>
      <w:rPr>
        <w:noProof/>
        <w:sz w:val="16"/>
        <w:szCs w:val="20"/>
      </w:rPr>
    </w:sdtEndPr>
    <w:sdtContent>
      <w:p w14:paraId="5ECB8902" w14:textId="4EB9E63B" w:rsidR="000A3591" w:rsidRDefault="000A35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695F83">
          <w:rPr>
            <w:noProof/>
            <w:rtl/>
            <w:lang w:bidi="ar-IQ"/>
          </w:rPr>
          <w:t>2</w:t>
        </w:r>
        <w:r>
          <w:rPr>
            <w:noProof/>
          </w:rPr>
          <w:fldChar w:fldCharType="end"/>
        </w:r>
      </w:p>
    </w:sdtContent>
  </w:sdt>
  <w:p w14:paraId="44177FE5" w14:textId="77777777" w:rsidR="000A3591" w:rsidRDefault="000A3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C4D80" w14:textId="77777777" w:rsidR="000A3591" w:rsidRDefault="000A3591" w:rsidP="000A3591">
      <w:pPr>
        <w:spacing w:after="0" w:line="240" w:lineRule="auto"/>
      </w:pPr>
      <w:r>
        <w:separator/>
      </w:r>
    </w:p>
  </w:footnote>
  <w:footnote w:type="continuationSeparator" w:id="0">
    <w:p w14:paraId="404C7635" w14:textId="77777777" w:rsidR="000A3591" w:rsidRDefault="000A3591" w:rsidP="000A3591">
      <w:pPr>
        <w:spacing w:after="0" w:line="240" w:lineRule="auto"/>
      </w:pPr>
      <w:r>
        <w:continuationSeparator/>
      </w:r>
    </w:p>
  </w:footnote>
  <w:footnote w:id="1">
    <w:p w14:paraId="1AD0F315" w14:textId="77777777" w:rsidR="00F6143C" w:rsidRPr="00C345D6" w:rsidRDefault="00F6143C" w:rsidP="00F6143C">
      <w:pPr>
        <w:pStyle w:val="FootnoteText"/>
        <w:bidi/>
        <w:jc w:val="both"/>
        <w:rPr>
          <w:rFonts w:cs="B Mitra"/>
          <w:rtl/>
          <w:lang w:bidi="fa-IR"/>
        </w:rPr>
      </w:pPr>
      <w:r w:rsidRPr="00C345D6">
        <w:rPr>
          <w:rStyle w:val="FootnoteReference"/>
          <w:rFonts w:cs="B Mitra"/>
        </w:rPr>
        <w:footnoteRef/>
      </w:r>
      <w:r w:rsidRPr="00C345D6">
        <w:rPr>
          <w:rFonts w:cs="B Mitra" w:hint="cs"/>
          <w:rtl/>
          <w:lang w:bidi="fa-IR"/>
        </w:rPr>
        <w:t>. چالاکی، پری و دیگران، «بررسی وضعیت به‏کارگیری استانداردهای بین‏المللی گزارش‏گری مالی (</w:t>
      </w:r>
      <w:r w:rsidRPr="00C345D6">
        <w:rPr>
          <w:rFonts w:cs="B Mitra"/>
          <w:lang w:bidi="fa-IR"/>
        </w:rPr>
        <w:t>IFRS</w:t>
      </w:r>
      <w:r w:rsidRPr="00C345D6">
        <w:rPr>
          <w:rFonts w:cs="B Mitra" w:hint="cs"/>
          <w:rtl/>
          <w:lang w:bidi="fa-IR"/>
        </w:rPr>
        <w:t>) در کشورهای مختلف جهان»، چهارمین همایش ملی حسابداری ایران، دانشگاه ارومیه، خرداد 1395</w:t>
      </w:r>
    </w:p>
  </w:footnote>
  <w:footnote w:id="2">
    <w:p w14:paraId="5D0A3BD4" w14:textId="77777777" w:rsidR="00F6143C" w:rsidRPr="00D54B22" w:rsidRDefault="00F6143C" w:rsidP="00F6143C">
      <w:pPr>
        <w:pStyle w:val="FootnoteText"/>
        <w:rPr>
          <w:rFonts w:asciiTheme="majorBidi" w:hAnsiTheme="majorBidi" w:cstheme="majorBidi"/>
          <w:rtl/>
          <w:lang w:bidi="fa-IR"/>
        </w:rPr>
      </w:pPr>
      <w:r w:rsidRPr="00D54B22">
        <w:rPr>
          <w:rStyle w:val="FootnoteReference"/>
          <w:rFonts w:asciiTheme="majorBidi" w:hAnsiTheme="majorBidi" w:cstheme="majorBidi"/>
        </w:rPr>
        <w:footnoteRef/>
      </w:r>
      <w:r w:rsidRPr="00D54B22">
        <w:rPr>
          <w:rFonts w:asciiTheme="majorBidi" w:hAnsiTheme="majorBidi" w:cstheme="majorBidi"/>
        </w:rPr>
        <w:t>. International Financial Reporting Standards</w:t>
      </w:r>
    </w:p>
  </w:footnote>
  <w:footnote w:id="3">
    <w:p w14:paraId="6CA60DA1" w14:textId="77777777" w:rsidR="00F6143C" w:rsidRPr="00D54B22" w:rsidRDefault="00F6143C" w:rsidP="00F6143C">
      <w:pPr>
        <w:pStyle w:val="FootnoteText"/>
        <w:rPr>
          <w:rFonts w:asciiTheme="majorBidi" w:hAnsiTheme="majorBidi" w:cstheme="majorBidi"/>
          <w:rtl/>
          <w:lang w:bidi="fa-IR"/>
        </w:rPr>
      </w:pPr>
      <w:r w:rsidRPr="00D54B22">
        <w:rPr>
          <w:rStyle w:val="FootnoteReference"/>
          <w:rFonts w:asciiTheme="majorBidi" w:hAnsiTheme="majorBidi" w:cstheme="majorBidi"/>
        </w:rPr>
        <w:footnoteRef/>
      </w:r>
      <w:r w:rsidRPr="00D54B22">
        <w:rPr>
          <w:rFonts w:asciiTheme="majorBidi" w:hAnsiTheme="majorBidi" w:cstheme="majorBidi"/>
        </w:rPr>
        <w:t>. International Accounting Standards Board</w:t>
      </w:r>
    </w:p>
  </w:footnote>
  <w:footnote w:id="4">
    <w:p w14:paraId="3965BC9F" w14:textId="77777777" w:rsidR="00F6143C" w:rsidRPr="00D54B22" w:rsidRDefault="00F6143C" w:rsidP="00F6143C">
      <w:pPr>
        <w:pStyle w:val="FootnoteText"/>
        <w:rPr>
          <w:rFonts w:asciiTheme="majorBidi" w:hAnsiTheme="majorBidi" w:cstheme="majorBidi"/>
          <w:rtl/>
          <w:lang w:bidi="fa-IR"/>
        </w:rPr>
      </w:pPr>
      <w:r w:rsidRPr="00D54B22">
        <w:rPr>
          <w:rStyle w:val="FootnoteReference"/>
          <w:rFonts w:asciiTheme="majorBidi" w:hAnsiTheme="majorBidi" w:cstheme="majorBidi"/>
        </w:rPr>
        <w:footnoteRef/>
      </w:r>
      <w:r w:rsidRPr="00D54B22">
        <w:rPr>
          <w:rFonts w:asciiTheme="majorBidi" w:hAnsiTheme="majorBidi" w:cstheme="majorBidi"/>
        </w:rPr>
        <w:t xml:space="preserve">. IFRS (2018); Use of IFRS Standards around the world. </w:t>
      </w:r>
      <w:hyperlink r:id="rId1" w:history="1">
        <w:r w:rsidRPr="00D54B22">
          <w:rPr>
            <w:rStyle w:val="Hyperlink"/>
            <w:rFonts w:asciiTheme="majorBidi" w:hAnsiTheme="majorBidi" w:cstheme="majorBidi"/>
          </w:rPr>
          <w:t>https://www.ifrs.org/use-around-the-world/use-of-ifrs-standards-by-jurisdiction/</w:t>
        </w:r>
      </w:hyperlink>
      <w:r w:rsidRPr="00D54B22">
        <w:rPr>
          <w:rFonts w:asciiTheme="majorBidi" w:hAnsiTheme="majorBidi" w:cstheme="majorBid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D2DA8" w14:textId="50D2CA42" w:rsidR="00452352" w:rsidRDefault="002B3A80">
    <w:pPr>
      <w:pStyle w:val="Header"/>
    </w:pPr>
    <w:r>
      <w:rPr>
        <w:noProof/>
      </w:rPr>
      <w:pict w14:anchorId="41A631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7" o:spid="_x0000_s2050" type="#_x0000_t75" style="position:absolute;left:0;text-align:left;margin-left:0;margin-top:0;width:468pt;height:591.4pt;z-index:-251657216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9350" w:type="dxa"/>
      <w:tblInd w:w="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7"/>
      <w:gridCol w:w="1983"/>
    </w:tblGrid>
    <w:tr w:rsidR="000A3591" w14:paraId="16787260" w14:textId="77777777" w:rsidTr="00C65880">
      <w:trPr>
        <w:cantSplit/>
        <w:trHeight w:val="74"/>
      </w:trPr>
      <w:tc>
        <w:tcPr>
          <w:tcW w:w="7367" w:type="dxa"/>
          <w:vAlign w:val="center"/>
        </w:tcPr>
        <w:p w14:paraId="6BA80756" w14:textId="450557EA" w:rsidR="000A3591" w:rsidRPr="000A3591" w:rsidRDefault="000A3591" w:rsidP="000A3591">
          <w:pPr>
            <w:pStyle w:val="Header"/>
            <w:jc w:val="left"/>
            <w:rPr>
              <w:rFonts w:cs="B Traffic"/>
              <w:rtl/>
              <w:lang w:bidi="fa-IR"/>
            </w:rPr>
          </w:pPr>
          <w:r w:rsidRPr="000A3591">
            <w:rPr>
              <w:rFonts w:cs="B Traffic" w:hint="cs"/>
              <w:sz w:val="16"/>
              <w:szCs w:val="20"/>
              <w:rtl/>
              <w:lang w:bidi="fa-IR"/>
            </w:rPr>
            <w:t>اولویت‏های پژوهشی موسسه راهبردهای بازنشستگی صبا در سال 1399</w:t>
          </w:r>
        </w:p>
      </w:tc>
      <w:tc>
        <w:tcPr>
          <w:tcW w:w="1983" w:type="dxa"/>
          <w:vAlign w:val="center"/>
        </w:tcPr>
        <w:p w14:paraId="282E6228" w14:textId="16D23850" w:rsidR="000A3591" w:rsidRDefault="000A3591" w:rsidP="000A3591">
          <w:pPr>
            <w:pStyle w:val="Header"/>
            <w:jc w:val="right"/>
            <w:rPr>
              <w:rtl/>
            </w:rPr>
          </w:pPr>
          <w:r>
            <w:rPr>
              <w:noProof/>
            </w:rPr>
            <w:drawing>
              <wp:inline distT="0" distB="0" distL="0" distR="0" wp14:anchorId="19C70060" wp14:editId="42D0FA46">
                <wp:extent cx="381467" cy="481415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600" cy="495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A0195E" w14:textId="1FD7074E" w:rsidR="000A3591" w:rsidRDefault="002B3A80" w:rsidP="000A3591">
    <w:pPr>
      <w:pStyle w:val="Header"/>
      <w:tabs>
        <w:tab w:val="clear" w:pos="4680"/>
      </w:tabs>
    </w:pPr>
    <w:r>
      <w:rPr>
        <w:noProof/>
      </w:rPr>
      <w:pict w14:anchorId="173FEE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8" o:spid="_x0000_s2051" type="#_x0000_t75" style="position:absolute;left:0;text-align:left;margin-left:0;margin-top:0;width:468pt;height:591.4pt;z-index:-251656192;mso-position-horizontal:center;mso-position-horizontal-relative:margin;mso-position-vertical:center;mso-position-vertical-relative:margin" o:allowincell="f">
          <v:imagedata r:id="rId2" o:title="logo new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25567" w14:textId="3F17BBAE" w:rsidR="00452352" w:rsidRDefault="002B3A80">
    <w:pPr>
      <w:pStyle w:val="Header"/>
    </w:pPr>
    <w:r>
      <w:rPr>
        <w:noProof/>
      </w:rPr>
      <w:pict w14:anchorId="0C87C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6" o:spid="_x0000_s2049" type="#_x0000_t75" style="position:absolute;left:0;text-align:left;margin-left:0;margin-top:0;width:468pt;height:591.4pt;z-index:-251658240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D5FBD"/>
    <w:multiLevelType w:val="hybridMultilevel"/>
    <w:tmpl w:val="4426F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A4F6D"/>
    <w:multiLevelType w:val="hybridMultilevel"/>
    <w:tmpl w:val="9AAAEF94"/>
    <w:lvl w:ilvl="0" w:tplc="04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2" w15:restartNumberingAfterBreak="0">
    <w:nsid w:val="356B11FB"/>
    <w:multiLevelType w:val="hybridMultilevel"/>
    <w:tmpl w:val="DBF8449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3928766D"/>
    <w:multiLevelType w:val="hybridMultilevel"/>
    <w:tmpl w:val="1234D44E"/>
    <w:lvl w:ilvl="0" w:tplc="040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 w15:restartNumberingAfterBreak="0">
    <w:nsid w:val="50510032"/>
    <w:multiLevelType w:val="hybridMultilevel"/>
    <w:tmpl w:val="7B2CB73C"/>
    <w:lvl w:ilvl="0" w:tplc="040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5" w15:restartNumberingAfterBreak="0">
    <w:nsid w:val="72033264"/>
    <w:multiLevelType w:val="hybridMultilevel"/>
    <w:tmpl w:val="06A444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14A78"/>
    <w:multiLevelType w:val="hybridMultilevel"/>
    <w:tmpl w:val="57A606F8"/>
    <w:lvl w:ilvl="0" w:tplc="A3847114">
      <w:start w:val="1"/>
      <w:numFmt w:val="decimal"/>
      <w:lvlText w:val="%1."/>
      <w:lvlJc w:val="left"/>
      <w:pPr>
        <w:ind w:left="1080" w:hanging="360"/>
      </w:pPr>
      <w:rPr>
        <w:rFonts w:cs="B Traff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484B43"/>
    <w:multiLevelType w:val="hybridMultilevel"/>
    <w:tmpl w:val="38C65958"/>
    <w:lvl w:ilvl="0" w:tplc="04090003">
      <w:start w:val="1"/>
      <w:numFmt w:val="bullet"/>
      <w:lvlText w:val="o"/>
      <w:lvlJc w:val="left"/>
      <w:pPr>
        <w:ind w:left="95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8A"/>
    <w:rsid w:val="00004FC1"/>
    <w:rsid w:val="00012C4D"/>
    <w:rsid w:val="00016592"/>
    <w:rsid w:val="000275E2"/>
    <w:rsid w:val="00032784"/>
    <w:rsid w:val="000455C8"/>
    <w:rsid w:val="00052AAD"/>
    <w:rsid w:val="0007725C"/>
    <w:rsid w:val="00093BDF"/>
    <w:rsid w:val="0009766B"/>
    <w:rsid w:val="000A3591"/>
    <w:rsid w:val="000D2002"/>
    <w:rsid w:val="00154991"/>
    <w:rsid w:val="001754FE"/>
    <w:rsid w:val="001768B8"/>
    <w:rsid w:val="001B0D7B"/>
    <w:rsid w:val="001C4A17"/>
    <w:rsid w:val="001D3F20"/>
    <w:rsid w:val="00223589"/>
    <w:rsid w:val="00243AC3"/>
    <w:rsid w:val="002967AD"/>
    <w:rsid w:val="002B0B0A"/>
    <w:rsid w:val="002B3A80"/>
    <w:rsid w:val="0039110E"/>
    <w:rsid w:val="003950D9"/>
    <w:rsid w:val="003C18C1"/>
    <w:rsid w:val="004130D5"/>
    <w:rsid w:val="00445A6A"/>
    <w:rsid w:val="00452352"/>
    <w:rsid w:val="004B732D"/>
    <w:rsid w:val="00522AAA"/>
    <w:rsid w:val="00553FC8"/>
    <w:rsid w:val="00676AB2"/>
    <w:rsid w:val="00695F83"/>
    <w:rsid w:val="006C2EAA"/>
    <w:rsid w:val="006E780B"/>
    <w:rsid w:val="00763070"/>
    <w:rsid w:val="008432FE"/>
    <w:rsid w:val="008908E0"/>
    <w:rsid w:val="008A1F93"/>
    <w:rsid w:val="008A7469"/>
    <w:rsid w:val="008C3498"/>
    <w:rsid w:val="008D2054"/>
    <w:rsid w:val="008D7700"/>
    <w:rsid w:val="00963C22"/>
    <w:rsid w:val="00981B8A"/>
    <w:rsid w:val="00994E5C"/>
    <w:rsid w:val="00A061E6"/>
    <w:rsid w:val="00A52F6E"/>
    <w:rsid w:val="00A64A9E"/>
    <w:rsid w:val="00A7631A"/>
    <w:rsid w:val="00A816C6"/>
    <w:rsid w:val="00AB5832"/>
    <w:rsid w:val="00B36845"/>
    <w:rsid w:val="00B47E51"/>
    <w:rsid w:val="00B72E05"/>
    <w:rsid w:val="00B74136"/>
    <w:rsid w:val="00C02D68"/>
    <w:rsid w:val="00C05F87"/>
    <w:rsid w:val="00C65880"/>
    <w:rsid w:val="00C6769B"/>
    <w:rsid w:val="00C9559A"/>
    <w:rsid w:val="00C95D96"/>
    <w:rsid w:val="00CB3676"/>
    <w:rsid w:val="00D36D14"/>
    <w:rsid w:val="00D415CE"/>
    <w:rsid w:val="00D85D46"/>
    <w:rsid w:val="00E034A4"/>
    <w:rsid w:val="00E3783A"/>
    <w:rsid w:val="00E444EF"/>
    <w:rsid w:val="00F00ABB"/>
    <w:rsid w:val="00F6143C"/>
    <w:rsid w:val="00F6603C"/>
    <w:rsid w:val="00F77BED"/>
    <w:rsid w:val="00F94B2F"/>
    <w:rsid w:val="00FB25FA"/>
    <w:rsid w:val="00FC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4:docId w14:val="454579C0"/>
  <w15:chartTrackingRefBased/>
  <w15:docId w15:val="{611720BA-A565-429C-A063-B7A702D4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D96"/>
    <w:pPr>
      <w:bidi/>
      <w:jc w:val="both"/>
    </w:pPr>
    <w:rPr>
      <w:rFonts w:cs="B Mitra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592"/>
    <w:pPr>
      <w:bidi w:val="0"/>
      <w:ind w:left="720"/>
      <w:contextualSpacing/>
      <w:jc w:val="left"/>
    </w:pPr>
    <w:rPr>
      <w:rFonts w:cstheme="minorBidi"/>
      <w:szCs w:val="22"/>
    </w:rPr>
  </w:style>
  <w:style w:type="paragraph" w:styleId="Header">
    <w:name w:val="header"/>
    <w:basedOn w:val="Normal"/>
    <w:link w:val="Head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591"/>
    <w:rPr>
      <w:rFonts w:cs="B Mitra"/>
      <w:szCs w:val="26"/>
    </w:rPr>
  </w:style>
  <w:style w:type="paragraph" w:styleId="Footer">
    <w:name w:val="footer"/>
    <w:basedOn w:val="Normal"/>
    <w:link w:val="Foot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591"/>
    <w:rPr>
      <w:rFonts w:cs="B Mitra"/>
      <w:szCs w:val="26"/>
    </w:rPr>
  </w:style>
  <w:style w:type="table" w:styleId="TableGrid">
    <w:name w:val="Table Grid"/>
    <w:basedOn w:val="TableNormal"/>
    <w:uiPriority w:val="39"/>
    <w:rsid w:val="000A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C18C1"/>
    <w:pPr>
      <w:bidi w:val="0"/>
      <w:spacing w:after="0" w:line="240" w:lineRule="auto"/>
      <w:jc w:val="left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8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18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614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frs.org/use-around-the-world/use-of-ifrs-standards-by-jurisdictio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514DA-D3D9-44BD-9909-55C0C27E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یلدا جعفری</cp:lastModifiedBy>
  <cp:revision>3</cp:revision>
  <dcterms:created xsi:type="dcterms:W3CDTF">2020-06-15T10:58:00Z</dcterms:created>
  <dcterms:modified xsi:type="dcterms:W3CDTF">2020-11-24T07:28:00Z</dcterms:modified>
</cp:coreProperties>
</file>